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E695C" w:rsidRPr="00570BC3" w14:paraId="15C71B79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3C62E813" w14:textId="77777777" w:rsidTr="00774D1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3E695C" w:rsidP="002458C6" w14:paraId="5E707023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2458C6" w:rsidP="002458C6" w14:paraId="5ACE4C63" w14:textId="675FBA0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2458C6" w:rsidRPr="00DF23FD" w:rsidP="002458C6" w14:paraId="37555565" w14:textId="1FA2C3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5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2458C6" w:rsidP="002458C6" w14:paraId="5FB9DEF4" w14:textId="06A0B8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06-10</w:t>
            </w:r>
            <w:r>
              <w:rPr>
                <w:rFonts w:ascii="Tahoma" w:hAnsi="Tahoma" w:cs="Tahoma"/>
                <w:b/>
                <w:bCs/>
                <w:color w:val="000000" w:themeColor="text1"/>
              </w:rPr>
              <w:t xml:space="preserve"> EKİM 2025</w:t>
            </w:r>
          </w:p>
          <w:p w:rsidR="006255EE" w:rsidRPr="00570BC3" w:rsidP="006255EE" w14:paraId="64F23EDF" w14:textId="7FBB984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3E695C" w14:paraId="0DE00D02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69AADE27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3EEB84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8211EE4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Okulumuzda Hayat</w:t>
            </w:r>
          </w:p>
        </w:tc>
      </w:tr>
      <w:tr w14:paraId="36021714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B19696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D42246" w:rsidP="00293502" w14:paraId="78ECF864" w14:textId="1F1491EE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OKULUMUZDA ŞENLİK VAR</w:t>
            </w:r>
          </w:p>
        </w:tc>
      </w:tr>
      <w:tr w14:paraId="2EC2F30B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93C32C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657403CE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4E8551AF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7F2B47B" w14:textId="02652A0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0502911A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HB.3.1.6.  Okulunun  bireysel ve toplumsal katkılarının fark eder.</w:t>
            </w: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br/>
              <w:t>HB.3.1.7.  Okuldaki sosyal yardımlaşma ve dayanışmayla ilgili çalışmalara katılmaya  istekli  olur.</w:t>
            </w:r>
          </w:p>
        </w:tc>
      </w:tr>
      <w:tr w14:paraId="34B92932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B9B8C1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95AA00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059514F4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E6E2D0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23C2DC9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27AC51EC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4351796E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33439CDE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8CF7FD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9D6138" w14:paraId="78EFE3B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Öğrenim gördüğü okulun; eğitsel, sosyal ve kültürel etkinliklerle öğrencilere ve </w:t>
            </w:r>
            <w:r w:rsidR="009D6138">
              <w:rPr>
                <w:rFonts w:ascii="Tahoma" w:hAnsi="Tahoma" w:cs="Tahoma"/>
                <w:color w:val="000000" w:themeColor="text1"/>
              </w:rPr>
              <w:t>topluma yaptığı katkı</w:t>
            </w:r>
            <w:r w:rsidRPr="00570BC3">
              <w:rPr>
                <w:rFonts w:ascii="Tahoma" w:hAnsi="Tahoma" w:cs="Tahoma"/>
                <w:color w:val="000000" w:themeColor="text1"/>
              </w:rPr>
              <w:t>ları takip etmesi  sağlanır.</w:t>
            </w:r>
          </w:p>
          <w:p w:rsidR="00815ED1" w:rsidP="009D6138" w14:paraId="057E29E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815ED1" w:rsidRPr="00570BC3" w:rsidP="00815ED1" w14:paraId="6B68EC71" w14:textId="3369C48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35-37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611774C5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43E5C731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25E1E584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BE79ED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5FC50F1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3214A40B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662EB6D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292957A8" w14:textId="5BC0078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2D7CB2D6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5CE615EF" w14:textId="41ADB69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01E446CC" w14:textId="28D2C092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3E695C" w14:paraId="581D7099" w14:textId="066AB804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327660</wp:posOffset>
                </wp:positionH>
                <wp:positionV relativeFrom="paragraph">
                  <wp:posOffset>190500</wp:posOffset>
                </wp:positionV>
                <wp:extent cx="6004560" cy="1668780"/>
                <wp:effectExtent l="0" t="0" r="0" b="0"/>
                <wp:wrapNone/>
                <wp:docPr id="21" name="Grup 2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2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2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32E3A22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2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21" o:spid="_x0000_s1025" style="width:472.8pt;height:131.4pt;margin-top:15pt;margin-left:25.8pt;mso-height-relative:margin;mso-width-relative:margin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774D1E" w14:paraId="064FF2A1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774D1E" w14:paraId="441BCFF2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774D1E" w14:paraId="7A055F5C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774D1E" w14:paraId="15411A2B" w14:textId="32E3A226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774D1E" w14:paraId="6FABD086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774D1E" w14:paraId="2D6BA0EA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774D1E" w14:paraId="1508EAC8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